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2D8" w:rsidRPr="00E972D8" w:rsidRDefault="00E972D8" w:rsidP="00E972D8">
      <w:pPr>
        <w:pStyle w:val="Heading1"/>
        <w:jc w:val="both"/>
      </w:pPr>
      <w:r w:rsidRPr="00E972D8">
        <w:t>Cross-Border Mergers and Acquisitions: A Practical Corporate Law Perspective</w:t>
      </w:r>
    </w:p>
    <w:p w:rsidR="00E972D8" w:rsidRPr="00E972D8" w:rsidRDefault="00E972D8" w:rsidP="00E972D8">
      <w:pPr>
        <w:pStyle w:val="Heading2"/>
        <w:jc w:val="both"/>
        <w:rPr>
          <w:rFonts w:ascii="Times New Roman" w:hAnsi="Times New Roman" w:cs="Times New Roman"/>
        </w:rPr>
      </w:pPr>
      <w:r w:rsidRPr="00E972D8">
        <w:rPr>
          <w:rFonts w:ascii="Times New Roman" w:hAnsi="Times New Roman" w:cs="Times New Roman"/>
        </w:rPr>
        <w:t>Introduction</w:t>
      </w:r>
    </w:p>
    <w:p w:rsidR="00E972D8" w:rsidRPr="00E972D8" w:rsidRDefault="00E972D8" w:rsidP="00E972D8">
      <w:pPr>
        <w:pStyle w:val="NormalWeb"/>
        <w:jc w:val="both"/>
      </w:pPr>
      <w:r w:rsidRPr="00E972D8">
        <w:t>Cross-border mergers and acquisitions (M&amp;A) have become a defining feature of modern corporate activity. Companies increasingly look beyond their home jurisdictions to expand market access, acquire strategic assets, diversify risk, and achieve growth. For Kenyan</w:t>
      </w:r>
      <w:r w:rsidRPr="00E972D8">
        <w:t xml:space="preserve"> companies and investors, cross </w:t>
      </w:r>
      <w:r w:rsidRPr="00E972D8">
        <w:t>border M&amp;A presents both significant opportunities and complex legal challenges.</w:t>
      </w:r>
    </w:p>
    <w:p w:rsidR="00E972D8" w:rsidRPr="00E972D8" w:rsidRDefault="00E972D8" w:rsidP="00E972D8">
      <w:pPr>
        <w:pStyle w:val="NormalWeb"/>
        <w:jc w:val="both"/>
      </w:pPr>
      <w:r>
        <w:t>From a corporate-</w:t>
      </w:r>
      <w:r w:rsidRPr="00E972D8">
        <w:t xml:space="preserve">commercial perspective, cross-border transactions are not simply larger versions of domestic deals. They require careful coordination of </w:t>
      </w:r>
      <w:r w:rsidRPr="00E972D8">
        <w:rPr>
          <w:rStyle w:val="Strong"/>
          <w:b w:val="0"/>
        </w:rPr>
        <w:t>multiple legal systems, regulatory regimes, governance standards, and commercial expectations</w:t>
      </w:r>
      <w:r w:rsidRPr="00E972D8">
        <w:t>. This article explores the key legal considerations in cross-border M&amp;A, with a particular focus on transactions involving Kenyan companies operating within a broader international context.</w:t>
      </w:r>
    </w:p>
    <w:p w:rsidR="00E972D8" w:rsidRPr="00E972D8" w:rsidRDefault="00E972D8" w:rsidP="00E972D8">
      <w:pPr>
        <w:pStyle w:val="Heading2"/>
        <w:jc w:val="both"/>
        <w:rPr>
          <w:rFonts w:ascii="Times New Roman" w:hAnsi="Times New Roman" w:cs="Times New Roman"/>
        </w:rPr>
      </w:pPr>
      <w:r w:rsidRPr="00E972D8">
        <w:rPr>
          <w:rFonts w:ascii="Times New Roman" w:hAnsi="Times New Roman" w:cs="Times New Roman"/>
        </w:rPr>
        <w:t>What Makes Cross-Border M&amp;A Distinct?</w:t>
      </w:r>
    </w:p>
    <w:p w:rsidR="00E972D8" w:rsidRPr="00E972D8" w:rsidRDefault="00E972D8" w:rsidP="00E972D8">
      <w:pPr>
        <w:pStyle w:val="NormalWeb"/>
        <w:jc w:val="both"/>
      </w:pPr>
      <w:r w:rsidRPr="00E972D8">
        <w:t>A transaction becomes “cross-border” when the buyer, seller, target company, or assets are located in different jurisdictions. This introduces layers of complexity that do not arise in purely domestic deals, including:</w:t>
      </w:r>
    </w:p>
    <w:p w:rsidR="00E972D8" w:rsidRPr="00E972D8" w:rsidRDefault="00E972D8" w:rsidP="00E972D8">
      <w:pPr>
        <w:pStyle w:val="NormalWeb"/>
        <w:numPr>
          <w:ilvl w:val="0"/>
          <w:numId w:val="1"/>
        </w:numPr>
        <w:jc w:val="both"/>
      </w:pPr>
      <w:r w:rsidRPr="00E972D8">
        <w:t>Conflicting or overlapping legal regimes</w:t>
      </w:r>
    </w:p>
    <w:p w:rsidR="00E972D8" w:rsidRPr="00E972D8" w:rsidRDefault="00E972D8" w:rsidP="00E972D8">
      <w:pPr>
        <w:pStyle w:val="NormalWeb"/>
        <w:numPr>
          <w:ilvl w:val="0"/>
          <w:numId w:val="1"/>
        </w:numPr>
        <w:jc w:val="both"/>
      </w:pPr>
      <w:r w:rsidRPr="00E972D8">
        <w:t>Regulatory approvals in multiple jurisdictions</w:t>
      </w:r>
    </w:p>
    <w:p w:rsidR="00E972D8" w:rsidRPr="00E972D8" w:rsidRDefault="00E972D8" w:rsidP="00E972D8">
      <w:pPr>
        <w:pStyle w:val="NormalWeb"/>
        <w:numPr>
          <w:ilvl w:val="0"/>
          <w:numId w:val="1"/>
        </w:numPr>
        <w:jc w:val="both"/>
      </w:pPr>
      <w:r w:rsidRPr="00E972D8">
        <w:t>Different corporate governance standards</w:t>
      </w:r>
    </w:p>
    <w:p w:rsidR="00E972D8" w:rsidRPr="00E972D8" w:rsidRDefault="00E972D8" w:rsidP="00E972D8">
      <w:pPr>
        <w:pStyle w:val="NormalWeb"/>
        <w:numPr>
          <w:ilvl w:val="0"/>
          <w:numId w:val="1"/>
        </w:numPr>
        <w:jc w:val="both"/>
      </w:pPr>
      <w:r w:rsidRPr="00E972D8">
        <w:t>Currency, tax, and exchange control considerations</w:t>
      </w:r>
    </w:p>
    <w:p w:rsidR="00E972D8" w:rsidRPr="00E972D8" w:rsidRDefault="00E972D8" w:rsidP="00E972D8">
      <w:pPr>
        <w:pStyle w:val="NormalWeb"/>
        <w:numPr>
          <w:ilvl w:val="0"/>
          <w:numId w:val="1"/>
        </w:numPr>
        <w:jc w:val="both"/>
      </w:pPr>
      <w:r w:rsidRPr="00E972D8">
        <w:t>Enforcement and dispute resolution risks</w:t>
      </w:r>
    </w:p>
    <w:p w:rsidR="00E972D8" w:rsidRPr="00E972D8" w:rsidRDefault="00E972D8" w:rsidP="00E972D8">
      <w:pPr>
        <w:pStyle w:val="Heading2"/>
        <w:jc w:val="both"/>
        <w:rPr>
          <w:rFonts w:ascii="Times New Roman" w:hAnsi="Times New Roman" w:cs="Times New Roman"/>
        </w:rPr>
      </w:pPr>
      <w:r w:rsidRPr="00E972D8">
        <w:rPr>
          <w:rFonts w:ascii="Times New Roman" w:hAnsi="Times New Roman" w:cs="Times New Roman"/>
        </w:rPr>
        <w:t>Transaction Structures in Cross-Border M&amp;A</w:t>
      </w:r>
    </w:p>
    <w:p w:rsidR="00E972D8" w:rsidRPr="00E972D8" w:rsidRDefault="00E972D8" w:rsidP="00E972D8">
      <w:pPr>
        <w:pStyle w:val="Heading3"/>
        <w:jc w:val="both"/>
        <w:rPr>
          <w:rFonts w:ascii="Times New Roman" w:hAnsi="Times New Roman" w:cs="Times New Roman"/>
        </w:rPr>
      </w:pPr>
      <w:r w:rsidRPr="00E972D8">
        <w:rPr>
          <w:rFonts w:ascii="Times New Roman" w:hAnsi="Times New Roman" w:cs="Times New Roman"/>
        </w:rPr>
        <w:t>Share Acquisitions</w:t>
      </w:r>
    </w:p>
    <w:p w:rsidR="00E972D8" w:rsidRPr="00E972D8" w:rsidRDefault="00E972D8" w:rsidP="00E972D8">
      <w:pPr>
        <w:pStyle w:val="NormalWeb"/>
        <w:jc w:val="both"/>
      </w:pPr>
      <w:r w:rsidRPr="00E972D8">
        <w:t xml:space="preserve">In a share acquisition, the buyer acquires shares in the target company, stepping into the shoes of the existing shareholders. Share deals are common in cross-border transactions because they allow continuity of contracts, </w:t>
      </w:r>
      <w:proofErr w:type="spellStart"/>
      <w:r w:rsidRPr="00E972D8">
        <w:t>licences</w:t>
      </w:r>
      <w:proofErr w:type="spellEnd"/>
      <w:r w:rsidRPr="00E972D8">
        <w:t>, and operational arrangements.</w:t>
      </w:r>
    </w:p>
    <w:p w:rsidR="00E972D8" w:rsidRPr="00E972D8" w:rsidRDefault="00E972D8" w:rsidP="00E972D8">
      <w:pPr>
        <w:pStyle w:val="NormalWeb"/>
        <w:jc w:val="both"/>
      </w:pPr>
      <w:r w:rsidRPr="00E972D8">
        <w:t>Key legal considerations include:</w:t>
      </w:r>
    </w:p>
    <w:p w:rsidR="00E972D8" w:rsidRPr="00E972D8" w:rsidRDefault="00E972D8" w:rsidP="00E972D8">
      <w:pPr>
        <w:pStyle w:val="NormalWeb"/>
        <w:numPr>
          <w:ilvl w:val="0"/>
          <w:numId w:val="2"/>
        </w:numPr>
        <w:jc w:val="both"/>
      </w:pPr>
      <w:r w:rsidRPr="00E972D8">
        <w:t>Transferability of shares under local law</w:t>
      </w:r>
    </w:p>
    <w:p w:rsidR="00E972D8" w:rsidRPr="00E972D8" w:rsidRDefault="00E972D8" w:rsidP="00E972D8">
      <w:pPr>
        <w:pStyle w:val="NormalWeb"/>
        <w:numPr>
          <w:ilvl w:val="0"/>
          <w:numId w:val="2"/>
        </w:numPr>
        <w:jc w:val="both"/>
      </w:pPr>
      <w:r w:rsidRPr="00E972D8">
        <w:t>Change-of-control provisions in material contracts</w:t>
      </w:r>
    </w:p>
    <w:p w:rsidR="00E972D8" w:rsidRPr="00E972D8" w:rsidRDefault="00E972D8" w:rsidP="00E972D8">
      <w:pPr>
        <w:pStyle w:val="NormalWeb"/>
        <w:numPr>
          <w:ilvl w:val="0"/>
          <w:numId w:val="2"/>
        </w:numPr>
        <w:jc w:val="both"/>
      </w:pPr>
      <w:r w:rsidRPr="00E972D8">
        <w:t>Regulatory consent requirements</w:t>
      </w:r>
    </w:p>
    <w:p w:rsidR="00E972D8" w:rsidRPr="00E972D8" w:rsidRDefault="00E972D8" w:rsidP="00E972D8">
      <w:pPr>
        <w:pStyle w:val="NormalWeb"/>
        <w:numPr>
          <w:ilvl w:val="0"/>
          <w:numId w:val="2"/>
        </w:numPr>
        <w:jc w:val="both"/>
      </w:pPr>
      <w:r w:rsidRPr="00E972D8">
        <w:t>Exposure to historical liabilities</w:t>
      </w:r>
    </w:p>
    <w:p w:rsidR="00E972D8" w:rsidRPr="00E972D8" w:rsidRDefault="00E972D8" w:rsidP="00E972D8">
      <w:pPr>
        <w:pStyle w:val="Heading3"/>
        <w:jc w:val="both"/>
        <w:rPr>
          <w:rFonts w:ascii="Times New Roman" w:hAnsi="Times New Roman" w:cs="Times New Roman"/>
        </w:rPr>
      </w:pPr>
      <w:r w:rsidRPr="00E972D8">
        <w:rPr>
          <w:rFonts w:ascii="Times New Roman" w:hAnsi="Times New Roman" w:cs="Times New Roman"/>
        </w:rPr>
        <w:lastRenderedPageBreak/>
        <w:t>Asset Acquisitions</w:t>
      </w:r>
    </w:p>
    <w:p w:rsidR="00E972D8" w:rsidRPr="00E972D8" w:rsidRDefault="00E972D8" w:rsidP="00E972D8">
      <w:pPr>
        <w:pStyle w:val="NormalWeb"/>
        <w:jc w:val="both"/>
      </w:pPr>
      <w:r w:rsidRPr="00E972D8">
        <w:t>Asset acquisitions involve the purchase of specified business assets rather than the shares of the target entity. While this can limit liability exposure, asset deals in cross-border contexts may be more complex due to:</w:t>
      </w:r>
    </w:p>
    <w:p w:rsidR="00E972D8" w:rsidRPr="00E972D8" w:rsidRDefault="00E972D8" w:rsidP="00E972D8">
      <w:pPr>
        <w:pStyle w:val="NormalWeb"/>
        <w:numPr>
          <w:ilvl w:val="0"/>
          <w:numId w:val="3"/>
        </w:numPr>
        <w:jc w:val="both"/>
      </w:pPr>
      <w:r w:rsidRPr="00E972D8">
        <w:t>Local transfer formalities</w:t>
      </w:r>
    </w:p>
    <w:p w:rsidR="00E972D8" w:rsidRPr="00E972D8" w:rsidRDefault="00E972D8" w:rsidP="00E972D8">
      <w:pPr>
        <w:pStyle w:val="NormalWeb"/>
        <w:numPr>
          <w:ilvl w:val="0"/>
          <w:numId w:val="3"/>
        </w:numPr>
        <w:jc w:val="both"/>
      </w:pPr>
      <w:r w:rsidRPr="00E972D8">
        <w:t>Tax and stamp duty implications</w:t>
      </w:r>
    </w:p>
    <w:p w:rsidR="00E972D8" w:rsidRPr="00E972D8" w:rsidRDefault="00E972D8" w:rsidP="00E972D8">
      <w:pPr>
        <w:pStyle w:val="NormalWeb"/>
        <w:numPr>
          <w:ilvl w:val="0"/>
          <w:numId w:val="3"/>
        </w:numPr>
        <w:jc w:val="both"/>
      </w:pPr>
      <w:r w:rsidRPr="00E972D8">
        <w:t>Employee transfer obligations</w:t>
      </w:r>
    </w:p>
    <w:p w:rsidR="00E972D8" w:rsidRPr="00E972D8" w:rsidRDefault="00E972D8" w:rsidP="00E972D8">
      <w:pPr>
        <w:pStyle w:val="NormalWeb"/>
        <w:numPr>
          <w:ilvl w:val="0"/>
          <w:numId w:val="3"/>
        </w:numPr>
        <w:jc w:val="both"/>
      </w:pPr>
      <w:r w:rsidRPr="00E972D8">
        <w:t>Regulatory approvals for asset transfers</w:t>
      </w:r>
    </w:p>
    <w:p w:rsidR="00E972D8" w:rsidRPr="00E972D8" w:rsidRDefault="00E972D8" w:rsidP="00E972D8">
      <w:pPr>
        <w:pStyle w:val="NormalWeb"/>
        <w:jc w:val="both"/>
      </w:pPr>
      <w:r w:rsidRPr="00E972D8">
        <w:t>The choice between share and asset acquisitions is often driven by regulatory risk, tax efficiency, and the buyer’s appetite for legacy liabilities.</w:t>
      </w:r>
    </w:p>
    <w:p w:rsidR="00E972D8" w:rsidRPr="00E972D8" w:rsidRDefault="00E972D8" w:rsidP="00E972D8">
      <w:pPr>
        <w:pStyle w:val="Heading2"/>
        <w:jc w:val="both"/>
        <w:rPr>
          <w:rFonts w:ascii="Times New Roman" w:hAnsi="Times New Roman" w:cs="Times New Roman"/>
        </w:rPr>
      </w:pPr>
      <w:r w:rsidRPr="00E972D8">
        <w:rPr>
          <w:rFonts w:ascii="Times New Roman" w:hAnsi="Times New Roman" w:cs="Times New Roman"/>
        </w:rPr>
        <w:t>Legal Due Diligence Across Jurisdictions</w:t>
      </w:r>
    </w:p>
    <w:p w:rsidR="00E972D8" w:rsidRPr="00E972D8" w:rsidRDefault="00E972D8" w:rsidP="00E972D8">
      <w:pPr>
        <w:pStyle w:val="NormalWeb"/>
        <w:jc w:val="both"/>
      </w:pPr>
      <w:r w:rsidRPr="00E972D8">
        <w:t>Legal due diligence is a central pillar of any M&amp;A transaction, but it becomes particularly critical in cross-border deals.</w:t>
      </w:r>
    </w:p>
    <w:p w:rsidR="00E972D8" w:rsidRPr="00E972D8" w:rsidRDefault="00E972D8" w:rsidP="00E972D8">
      <w:pPr>
        <w:pStyle w:val="NormalWeb"/>
        <w:jc w:val="both"/>
      </w:pPr>
      <w:r w:rsidRPr="00E972D8">
        <w:t>In transactions involving Kenyan companies, due diligence typically focuses on:</w:t>
      </w:r>
    </w:p>
    <w:p w:rsidR="00E972D8" w:rsidRPr="00E972D8" w:rsidRDefault="00E972D8" w:rsidP="00E972D8">
      <w:pPr>
        <w:pStyle w:val="NormalWeb"/>
        <w:numPr>
          <w:ilvl w:val="0"/>
          <w:numId w:val="4"/>
        </w:numPr>
        <w:jc w:val="both"/>
      </w:pPr>
      <w:r w:rsidRPr="00E972D8">
        <w:t>Corporate structure and governance compliance</w:t>
      </w:r>
    </w:p>
    <w:p w:rsidR="00E972D8" w:rsidRPr="00E972D8" w:rsidRDefault="00E972D8" w:rsidP="00E972D8">
      <w:pPr>
        <w:pStyle w:val="NormalWeb"/>
        <w:numPr>
          <w:ilvl w:val="0"/>
          <w:numId w:val="4"/>
        </w:numPr>
        <w:jc w:val="both"/>
      </w:pPr>
      <w:r w:rsidRPr="00E972D8">
        <w:t>Title to shares and assets</w:t>
      </w:r>
    </w:p>
    <w:p w:rsidR="00E972D8" w:rsidRPr="00E972D8" w:rsidRDefault="00E972D8" w:rsidP="00E972D8">
      <w:pPr>
        <w:pStyle w:val="NormalWeb"/>
        <w:numPr>
          <w:ilvl w:val="0"/>
          <w:numId w:val="4"/>
        </w:numPr>
        <w:jc w:val="both"/>
      </w:pPr>
      <w:r w:rsidRPr="00E972D8">
        <w:t xml:space="preserve">Regulatory </w:t>
      </w:r>
      <w:proofErr w:type="spellStart"/>
      <w:r w:rsidRPr="00E972D8">
        <w:t>licences</w:t>
      </w:r>
      <w:proofErr w:type="spellEnd"/>
      <w:r w:rsidRPr="00E972D8">
        <w:t xml:space="preserve"> and approvals</w:t>
      </w:r>
    </w:p>
    <w:p w:rsidR="00E972D8" w:rsidRPr="00E972D8" w:rsidRDefault="00E972D8" w:rsidP="00E972D8">
      <w:pPr>
        <w:pStyle w:val="NormalWeb"/>
        <w:numPr>
          <w:ilvl w:val="0"/>
          <w:numId w:val="4"/>
        </w:numPr>
        <w:jc w:val="both"/>
      </w:pPr>
      <w:r w:rsidRPr="00E972D8">
        <w:t>Material contracts and termination risks</w:t>
      </w:r>
    </w:p>
    <w:p w:rsidR="00E972D8" w:rsidRPr="00E972D8" w:rsidRDefault="00E972D8" w:rsidP="00E972D8">
      <w:pPr>
        <w:pStyle w:val="NormalWeb"/>
        <w:numPr>
          <w:ilvl w:val="0"/>
          <w:numId w:val="4"/>
        </w:numPr>
        <w:jc w:val="both"/>
      </w:pPr>
      <w:r w:rsidRPr="00E972D8">
        <w:t>Employment and pension obligations</w:t>
      </w:r>
    </w:p>
    <w:p w:rsidR="00E972D8" w:rsidRPr="00E972D8" w:rsidRDefault="00E972D8" w:rsidP="00E972D8">
      <w:pPr>
        <w:pStyle w:val="NormalWeb"/>
        <w:numPr>
          <w:ilvl w:val="0"/>
          <w:numId w:val="4"/>
        </w:numPr>
        <w:jc w:val="both"/>
      </w:pPr>
      <w:r w:rsidRPr="00E972D8">
        <w:t>Existing or potential disputes</w:t>
      </w:r>
    </w:p>
    <w:p w:rsidR="00E972D8" w:rsidRPr="00E972D8" w:rsidRDefault="00E972D8" w:rsidP="00E972D8">
      <w:pPr>
        <w:pStyle w:val="NormalWeb"/>
        <w:jc w:val="both"/>
      </w:pPr>
      <w:r w:rsidRPr="00E972D8">
        <w:t>In cross-border transactions, due diligence findings must be assessed not only in isolation, but also in terms of how risks interact across jurisdictions. This often requires close coordination between local counsel and international legal teams.</w:t>
      </w:r>
    </w:p>
    <w:p w:rsidR="00E972D8" w:rsidRPr="00E972D8" w:rsidRDefault="00E972D8" w:rsidP="00E972D8">
      <w:pPr>
        <w:pStyle w:val="Heading2"/>
        <w:jc w:val="both"/>
        <w:rPr>
          <w:rFonts w:ascii="Times New Roman" w:hAnsi="Times New Roman" w:cs="Times New Roman"/>
        </w:rPr>
      </w:pPr>
      <w:r w:rsidRPr="00E972D8">
        <w:rPr>
          <w:rFonts w:ascii="Times New Roman" w:hAnsi="Times New Roman" w:cs="Times New Roman"/>
        </w:rPr>
        <w:t>Regulatory and Approval Frameworks</w:t>
      </w:r>
    </w:p>
    <w:p w:rsidR="00E972D8" w:rsidRPr="00E972D8" w:rsidRDefault="00E972D8" w:rsidP="00E972D8">
      <w:pPr>
        <w:pStyle w:val="NormalWeb"/>
        <w:jc w:val="both"/>
      </w:pPr>
      <w:r w:rsidRPr="00E972D8">
        <w:t>Cross-border M&amp;A transactions frequently trigger regulatory approvals in one or more jurisdictions. These may include:</w:t>
      </w:r>
    </w:p>
    <w:p w:rsidR="00E972D8" w:rsidRPr="00E972D8" w:rsidRDefault="00E972D8" w:rsidP="00E972D8">
      <w:pPr>
        <w:pStyle w:val="NormalWeb"/>
        <w:numPr>
          <w:ilvl w:val="0"/>
          <w:numId w:val="5"/>
        </w:numPr>
        <w:jc w:val="both"/>
      </w:pPr>
      <w:r w:rsidRPr="00E972D8">
        <w:t>Competition and merger control approvals</w:t>
      </w:r>
    </w:p>
    <w:p w:rsidR="00E972D8" w:rsidRPr="00E972D8" w:rsidRDefault="00E972D8" w:rsidP="00E972D8">
      <w:pPr>
        <w:pStyle w:val="NormalWeb"/>
        <w:numPr>
          <w:ilvl w:val="0"/>
          <w:numId w:val="5"/>
        </w:numPr>
        <w:jc w:val="both"/>
      </w:pPr>
      <w:r w:rsidRPr="00E972D8">
        <w:t>Sector-specific regulatory consents</w:t>
      </w:r>
    </w:p>
    <w:p w:rsidR="00E972D8" w:rsidRPr="00E972D8" w:rsidRDefault="00E972D8" w:rsidP="00E972D8">
      <w:pPr>
        <w:pStyle w:val="NormalWeb"/>
        <w:numPr>
          <w:ilvl w:val="0"/>
          <w:numId w:val="5"/>
        </w:numPr>
        <w:jc w:val="both"/>
      </w:pPr>
      <w:r w:rsidRPr="00E972D8">
        <w:t>Foreign investment approvals</w:t>
      </w:r>
    </w:p>
    <w:p w:rsidR="00E972D8" w:rsidRPr="00E972D8" w:rsidRDefault="00E972D8" w:rsidP="00E972D8">
      <w:pPr>
        <w:pStyle w:val="NormalWeb"/>
        <w:numPr>
          <w:ilvl w:val="0"/>
          <w:numId w:val="5"/>
        </w:numPr>
        <w:jc w:val="both"/>
      </w:pPr>
      <w:r w:rsidRPr="00E972D8">
        <w:t>Exchange control or capital movement approvals</w:t>
      </w:r>
    </w:p>
    <w:p w:rsidR="00E972D8" w:rsidRPr="00E972D8" w:rsidRDefault="00E972D8" w:rsidP="00E972D8">
      <w:pPr>
        <w:pStyle w:val="NormalWeb"/>
        <w:jc w:val="both"/>
      </w:pPr>
      <w:r w:rsidRPr="00E972D8">
        <w:t>For Kenyan companies, regional and international regulatory regimes may also be relevant, particularly where transactions have a regional footprint. Early identification of approval requirements is essential to avoid delays, increased costs, or deal failure.</w:t>
      </w:r>
    </w:p>
    <w:p w:rsidR="00E972D8" w:rsidRPr="00E972D8" w:rsidRDefault="00E972D8" w:rsidP="00E972D8">
      <w:pPr>
        <w:pStyle w:val="Heading2"/>
        <w:jc w:val="both"/>
        <w:rPr>
          <w:rFonts w:ascii="Times New Roman" w:hAnsi="Times New Roman" w:cs="Times New Roman"/>
        </w:rPr>
      </w:pPr>
      <w:r w:rsidRPr="00E972D8">
        <w:rPr>
          <w:rFonts w:ascii="Times New Roman" w:hAnsi="Times New Roman" w:cs="Times New Roman"/>
        </w:rPr>
        <w:lastRenderedPageBreak/>
        <w:t>Transaction Documentation and Risk Allocation</w:t>
      </w:r>
    </w:p>
    <w:p w:rsidR="00E972D8" w:rsidRPr="00E972D8" w:rsidRDefault="00E972D8" w:rsidP="00E972D8">
      <w:pPr>
        <w:pStyle w:val="NormalWeb"/>
        <w:jc w:val="both"/>
      </w:pPr>
      <w:r w:rsidRPr="00E972D8">
        <w:t>The principal transactio</w:t>
      </w:r>
      <w:r>
        <w:t xml:space="preserve">n documents in cross-border M&amp;A, </w:t>
      </w:r>
      <w:r w:rsidRPr="00E972D8">
        <w:t>such as share sale agreemen</w:t>
      </w:r>
      <w:r>
        <w:t xml:space="preserve">ts or asset purchase agreements, </w:t>
      </w:r>
      <w:r w:rsidRPr="00E972D8">
        <w:t>serve as the primary tools for allocating risk between the parties.</w:t>
      </w:r>
    </w:p>
    <w:p w:rsidR="00E972D8" w:rsidRPr="00E972D8" w:rsidRDefault="00E972D8" w:rsidP="00E972D8">
      <w:pPr>
        <w:pStyle w:val="NormalWeb"/>
        <w:jc w:val="both"/>
      </w:pPr>
      <w:r w:rsidRPr="00E972D8">
        <w:t>Key provisions typically include:</w:t>
      </w:r>
    </w:p>
    <w:p w:rsidR="00E972D8" w:rsidRPr="00E972D8" w:rsidRDefault="00E972D8" w:rsidP="00E972D8">
      <w:pPr>
        <w:pStyle w:val="NormalWeb"/>
        <w:numPr>
          <w:ilvl w:val="0"/>
          <w:numId w:val="6"/>
        </w:numPr>
        <w:jc w:val="both"/>
      </w:pPr>
      <w:r w:rsidRPr="00E972D8">
        <w:t>Representations and warranties</w:t>
      </w:r>
    </w:p>
    <w:p w:rsidR="00E972D8" w:rsidRPr="00E972D8" w:rsidRDefault="00E972D8" w:rsidP="00E972D8">
      <w:pPr>
        <w:pStyle w:val="NormalWeb"/>
        <w:numPr>
          <w:ilvl w:val="0"/>
          <w:numId w:val="6"/>
        </w:numPr>
        <w:jc w:val="both"/>
      </w:pPr>
      <w:r w:rsidRPr="00E972D8">
        <w:t>Indemnities</w:t>
      </w:r>
    </w:p>
    <w:p w:rsidR="00E972D8" w:rsidRPr="00E972D8" w:rsidRDefault="00E972D8" w:rsidP="00E972D8">
      <w:pPr>
        <w:pStyle w:val="NormalWeb"/>
        <w:numPr>
          <w:ilvl w:val="0"/>
          <w:numId w:val="6"/>
        </w:numPr>
        <w:jc w:val="both"/>
      </w:pPr>
      <w:r w:rsidRPr="00E972D8">
        <w:t>Conditions precedent</w:t>
      </w:r>
    </w:p>
    <w:p w:rsidR="00E972D8" w:rsidRPr="00E972D8" w:rsidRDefault="00E972D8" w:rsidP="00E972D8">
      <w:pPr>
        <w:pStyle w:val="NormalWeb"/>
        <w:numPr>
          <w:ilvl w:val="0"/>
          <w:numId w:val="6"/>
        </w:numPr>
        <w:jc w:val="both"/>
      </w:pPr>
      <w:r w:rsidRPr="00E972D8">
        <w:t>Completion mechanics</w:t>
      </w:r>
    </w:p>
    <w:p w:rsidR="00E972D8" w:rsidRPr="00E972D8" w:rsidRDefault="00E972D8" w:rsidP="00E972D8">
      <w:pPr>
        <w:pStyle w:val="NormalWeb"/>
        <w:numPr>
          <w:ilvl w:val="0"/>
          <w:numId w:val="6"/>
        </w:numPr>
        <w:jc w:val="both"/>
      </w:pPr>
      <w:r w:rsidRPr="00E972D8">
        <w:t>Governing law and dispute resolution clauses</w:t>
      </w:r>
    </w:p>
    <w:p w:rsidR="00E972D8" w:rsidRPr="00E972D8" w:rsidRDefault="00E972D8" w:rsidP="00E972D8">
      <w:pPr>
        <w:pStyle w:val="NormalWeb"/>
        <w:jc w:val="both"/>
      </w:pPr>
      <w:r w:rsidRPr="00E972D8">
        <w:t>In cross-border contexts, careful attention must be paid to whether contractual protections will be enforceable in practice, particularly where assets or counterparties are located in different jurisdictions.</w:t>
      </w:r>
    </w:p>
    <w:p w:rsidR="00E972D8" w:rsidRPr="00E972D8" w:rsidRDefault="00E972D8" w:rsidP="00E972D8">
      <w:pPr>
        <w:pStyle w:val="Heading2"/>
        <w:jc w:val="both"/>
        <w:rPr>
          <w:rFonts w:ascii="Times New Roman" w:hAnsi="Times New Roman" w:cs="Times New Roman"/>
        </w:rPr>
      </w:pPr>
      <w:r w:rsidRPr="00E972D8">
        <w:rPr>
          <w:rFonts w:ascii="Times New Roman" w:hAnsi="Times New Roman" w:cs="Times New Roman"/>
        </w:rPr>
        <w:t>Governing Law and Dispute Resolution</w:t>
      </w:r>
    </w:p>
    <w:p w:rsidR="00E972D8" w:rsidRPr="00E972D8" w:rsidRDefault="00E972D8" w:rsidP="00E972D8">
      <w:pPr>
        <w:pStyle w:val="NormalWeb"/>
        <w:jc w:val="both"/>
      </w:pPr>
      <w:r w:rsidRPr="00E972D8">
        <w:t>Choice of governing law and dispute resolution mechanism is a strategic issue in cross-border M&amp;A.</w:t>
      </w:r>
    </w:p>
    <w:p w:rsidR="00E972D8" w:rsidRPr="00E972D8" w:rsidRDefault="00E972D8" w:rsidP="00E972D8">
      <w:pPr>
        <w:pStyle w:val="NormalWeb"/>
        <w:jc w:val="both"/>
      </w:pPr>
      <w:r w:rsidRPr="00E972D8">
        <w:t>Parties commonly opt for:</w:t>
      </w:r>
    </w:p>
    <w:p w:rsidR="00E972D8" w:rsidRPr="00E972D8" w:rsidRDefault="00E972D8" w:rsidP="00E972D8">
      <w:pPr>
        <w:pStyle w:val="NormalWeb"/>
        <w:numPr>
          <w:ilvl w:val="0"/>
          <w:numId w:val="7"/>
        </w:numPr>
        <w:jc w:val="both"/>
      </w:pPr>
      <w:r w:rsidRPr="00E972D8">
        <w:t>A neutral governing law</w:t>
      </w:r>
    </w:p>
    <w:p w:rsidR="00E972D8" w:rsidRPr="00E972D8" w:rsidRDefault="00E972D8" w:rsidP="00E972D8">
      <w:pPr>
        <w:pStyle w:val="NormalWeb"/>
        <w:numPr>
          <w:ilvl w:val="0"/>
          <w:numId w:val="7"/>
        </w:numPr>
        <w:jc w:val="both"/>
      </w:pPr>
      <w:r w:rsidRPr="00E972D8">
        <w:t xml:space="preserve">International arbitration seated in a </w:t>
      </w:r>
      <w:proofErr w:type="spellStart"/>
      <w:r w:rsidRPr="00E972D8">
        <w:t>recognised</w:t>
      </w:r>
      <w:proofErr w:type="spellEnd"/>
      <w:r w:rsidRPr="00E972D8">
        <w:t xml:space="preserve"> arbitral hub</w:t>
      </w:r>
    </w:p>
    <w:p w:rsidR="00E972D8" w:rsidRPr="00E972D8" w:rsidRDefault="00E972D8" w:rsidP="00E972D8">
      <w:pPr>
        <w:pStyle w:val="NormalWeb"/>
        <w:jc w:val="both"/>
      </w:pPr>
      <w:r w:rsidRPr="00E972D8">
        <w:t>These choices are driven by considerations of enforceability, neutrality, procedural flexibility, and predictability. For Kenyan parties engaging in international transactions, arbitration is often preferred due to the relative ease of enforcement of arbitral awards across borders.</w:t>
      </w:r>
    </w:p>
    <w:p w:rsidR="00E972D8" w:rsidRPr="00E972D8" w:rsidRDefault="00E972D8" w:rsidP="00E972D8">
      <w:pPr>
        <w:pStyle w:val="Heading2"/>
        <w:jc w:val="both"/>
        <w:rPr>
          <w:rFonts w:ascii="Times New Roman" w:hAnsi="Times New Roman" w:cs="Times New Roman"/>
        </w:rPr>
      </w:pPr>
      <w:r w:rsidRPr="00E972D8">
        <w:rPr>
          <w:rFonts w:ascii="Times New Roman" w:hAnsi="Times New Roman" w:cs="Times New Roman"/>
        </w:rPr>
        <w:t>Post-Completion Integration and Governance</w:t>
      </w:r>
    </w:p>
    <w:p w:rsidR="00E972D8" w:rsidRPr="00E972D8" w:rsidRDefault="00E972D8" w:rsidP="00E972D8">
      <w:pPr>
        <w:pStyle w:val="NormalWeb"/>
        <w:jc w:val="both"/>
      </w:pPr>
      <w:r w:rsidRPr="00E972D8">
        <w:t>The legal work in cross-border M&amp;A does not end at completion. Post-closing integration raises governance and operational issues, including:</w:t>
      </w:r>
    </w:p>
    <w:p w:rsidR="00E972D8" w:rsidRPr="00E972D8" w:rsidRDefault="00E972D8" w:rsidP="00E972D8">
      <w:pPr>
        <w:pStyle w:val="NormalWeb"/>
        <w:numPr>
          <w:ilvl w:val="0"/>
          <w:numId w:val="8"/>
        </w:numPr>
        <w:jc w:val="both"/>
      </w:pPr>
      <w:r w:rsidRPr="00E972D8">
        <w:t>Board composition and control</w:t>
      </w:r>
    </w:p>
    <w:p w:rsidR="00E972D8" w:rsidRPr="00E972D8" w:rsidRDefault="00E972D8" w:rsidP="00E972D8">
      <w:pPr>
        <w:pStyle w:val="NormalWeb"/>
        <w:numPr>
          <w:ilvl w:val="0"/>
          <w:numId w:val="8"/>
        </w:numPr>
        <w:jc w:val="both"/>
      </w:pPr>
      <w:r w:rsidRPr="00E972D8">
        <w:t>Alignment of corporate policies and compliance frameworks</w:t>
      </w:r>
    </w:p>
    <w:p w:rsidR="00E972D8" w:rsidRPr="00E972D8" w:rsidRDefault="00E972D8" w:rsidP="00E972D8">
      <w:pPr>
        <w:pStyle w:val="NormalWeb"/>
        <w:numPr>
          <w:ilvl w:val="0"/>
          <w:numId w:val="8"/>
        </w:numPr>
        <w:jc w:val="both"/>
      </w:pPr>
      <w:r w:rsidRPr="00E972D8">
        <w:t>Management incentives and retention</w:t>
      </w:r>
    </w:p>
    <w:p w:rsidR="00E972D8" w:rsidRPr="00E972D8" w:rsidRDefault="00E972D8" w:rsidP="00E972D8">
      <w:pPr>
        <w:pStyle w:val="NormalWeb"/>
        <w:numPr>
          <w:ilvl w:val="0"/>
          <w:numId w:val="8"/>
        </w:numPr>
        <w:jc w:val="both"/>
      </w:pPr>
      <w:r w:rsidRPr="00E972D8">
        <w:t>Ongoing regulatory obligations</w:t>
      </w:r>
    </w:p>
    <w:p w:rsidR="00E972D8" w:rsidRPr="00E972D8" w:rsidRDefault="00E972D8" w:rsidP="00E972D8">
      <w:pPr>
        <w:pStyle w:val="NormalWeb"/>
        <w:jc w:val="both"/>
      </w:pPr>
      <w:r w:rsidRPr="00E972D8">
        <w:t>Poor post-completion governance can undermine the commercial objectives of an otherwise successful transaction.</w:t>
      </w:r>
    </w:p>
    <w:p w:rsidR="00E972D8" w:rsidRPr="00E972D8" w:rsidRDefault="00E972D8" w:rsidP="00E972D8">
      <w:pPr>
        <w:pStyle w:val="Heading2"/>
        <w:jc w:val="both"/>
        <w:rPr>
          <w:rFonts w:ascii="Times New Roman" w:hAnsi="Times New Roman" w:cs="Times New Roman"/>
        </w:rPr>
      </w:pPr>
      <w:r w:rsidRPr="00E972D8">
        <w:rPr>
          <w:rFonts w:ascii="Times New Roman" w:hAnsi="Times New Roman" w:cs="Times New Roman"/>
        </w:rPr>
        <w:lastRenderedPageBreak/>
        <w:t>Conclusion</w:t>
      </w:r>
    </w:p>
    <w:p w:rsidR="00E972D8" w:rsidRPr="00E972D8" w:rsidRDefault="00E972D8" w:rsidP="00E972D8">
      <w:pPr>
        <w:pStyle w:val="NormalWeb"/>
        <w:jc w:val="both"/>
      </w:pPr>
      <w:r w:rsidRPr="00E972D8">
        <w:t>Cross-border mergers and acquisitions sit at the intersection of company law, commercial strategy, and regulatory compliance. For Kenyan companies and investors, success in cross-border M&amp;A depends on careful structuring, thorough due diligence, and a clear understanding of how different legal systems interact.</w:t>
      </w:r>
    </w:p>
    <w:p w:rsidR="00862AF1" w:rsidRPr="00E972D8" w:rsidRDefault="00E972D8" w:rsidP="00E972D8">
      <w:pPr>
        <w:pStyle w:val="NormalWeb"/>
        <w:jc w:val="both"/>
      </w:pPr>
      <w:r w:rsidRPr="00E972D8">
        <w:t>From a corporate–commercial perspective, the lawyer’s role is not only to manage legal risk, but to facilitate transactions that are enforceable, efficient, and aligned with the parties’ long-term strategic goals.</w:t>
      </w:r>
      <w:bookmarkStart w:id="0" w:name="_GoBack"/>
      <w:bookmarkEnd w:id="0"/>
    </w:p>
    <w:sectPr w:rsidR="00862AF1" w:rsidRPr="00E972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34C49"/>
    <w:multiLevelType w:val="multilevel"/>
    <w:tmpl w:val="C1CC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037500"/>
    <w:multiLevelType w:val="multilevel"/>
    <w:tmpl w:val="BC2E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A4EC0"/>
    <w:multiLevelType w:val="multilevel"/>
    <w:tmpl w:val="C00E9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695DBE"/>
    <w:multiLevelType w:val="multilevel"/>
    <w:tmpl w:val="FB84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9A6320"/>
    <w:multiLevelType w:val="multilevel"/>
    <w:tmpl w:val="24F4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E56C2B"/>
    <w:multiLevelType w:val="multilevel"/>
    <w:tmpl w:val="D5BE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3807B2"/>
    <w:multiLevelType w:val="multilevel"/>
    <w:tmpl w:val="BD5E3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BE29F6"/>
    <w:multiLevelType w:val="multilevel"/>
    <w:tmpl w:val="17FC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7"/>
  </w:num>
  <w:num w:numId="5">
    <w:abstractNumId w:val="6"/>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2D8"/>
    <w:rsid w:val="000B7BC8"/>
    <w:rsid w:val="007F5DAC"/>
    <w:rsid w:val="00862AF1"/>
    <w:rsid w:val="00E97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8E8AA"/>
  <w15:chartTrackingRefBased/>
  <w15:docId w15:val="{4EB39BB8-4B69-41B8-84C5-68E44D15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972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972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972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2D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E972D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972D8"/>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E972D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972D8"/>
    <w:rPr>
      <w:b/>
      <w:bCs/>
    </w:rPr>
  </w:style>
  <w:style w:type="character" w:styleId="Emphasis">
    <w:name w:val="Emphasis"/>
    <w:basedOn w:val="DefaultParagraphFont"/>
    <w:uiPriority w:val="20"/>
    <w:qFormat/>
    <w:rsid w:val="00E972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83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Imanyara</dc:creator>
  <cp:keywords/>
  <dc:description/>
  <cp:lastModifiedBy>Doreen Imanyara</cp:lastModifiedBy>
  <cp:revision>1</cp:revision>
  <dcterms:created xsi:type="dcterms:W3CDTF">2026-01-22T08:21:00Z</dcterms:created>
  <dcterms:modified xsi:type="dcterms:W3CDTF">2026-01-22T08:31:00Z</dcterms:modified>
</cp:coreProperties>
</file>